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D0CF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СЛТя-160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4A3DD5">
              <w:rPr>
                <w:rFonts w:ascii="Tahoma" w:hAnsi="Tahoma" w:cs="Tahoma"/>
                <w:b/>
                <w:sz w:val="28"/>
                <w:szCs w:val="28"/>
              </w:rPr>
              <w:t>торцевой ящичный</w:t>
            </w:r>
          </w:p>
        </w:tc>
      </w:tr>
    </w:tbl>
    <w:p w:rsidR="00D619AF" w:rsidRPr="00BD2733" w:rsidRDefault="0022133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D0CF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</w:t>
            </w:r>
            <w:r w:rsidR="009D0CF2">
              <w:rPr>
                <w:rFonts w:ascii="Segoe UI" w:hAnsi="Segoe UI" w:cs="Segoe UI"/>
                <w:sz w:val="20"/>
                <w:szCs w:val="20"/>
              </w:rPr>
              <w:t>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D0CF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D0CF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СЛТя-160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0758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0CF2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24E2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B655-12A7-4AFA-954E-460FA09C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2022-01-25T03:58:00Z</dcterms:modified>
</cp:coreProperties>
</file>